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59ca4bac6d54ebf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11574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I. OSNOVNA ŠKOLA PETRINJA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31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VI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835.054,37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964.963,32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115,6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762.226,64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1.087.341,37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142,7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POSLOVANJA (šifre Z005-6)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122.378,05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69.404,71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22.992,57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33,1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69.404,71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22.992,57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33,1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145.370,62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Manjak prihoda poslovanja nastao je zbog evidentiranja troška plaće za lipanj i za koju će biti evidentiran prihod iz državnog proračuna u trenutku isplate plaće, odnosno u srpnju. Također su knjiženi računi za školsku kuhinju koji se financiraju iz državnog proračuna ali sredstva za mjesece svibanj i lipanj nisu doznačena pa nije knjižen prihod. Manjak prihoda od nefinancijske imovine iskazan je jer je nabava nefinancijske imovine financirana iz viška i nema evidentiran prihod od prodaje nefinancijske imovine.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nespomenuti prihodi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3.094,62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16.134,86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521,4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 od uplata za provođenje programa produženog boravka, u prošlom izvještajnom razdoblju je bila jedna skupina s 12 djece, a ove godine imamo tri skupine i ukupno 47 djece u produženom boravku.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proizvoda i robe te pruženih usluga, prihodi od donacija te povrati po protestiranim jamstvima (šifre 661+663)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1166,7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Prihod od najma školske sportske dvorane u ovom izvještajnom razdoblju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zaposlene (šifre 311+312+313)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647.102,11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932.910,40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144,2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Razlika zbog knjiženja plaće za lipanj 2025. godine s datumom 30.06.2025. a u prošlom izvještajnom razdoblju knjižena je u srpnju. Također je povećan broj zaposlenih (produženi boravak, pomoćnici u nastavi, tehničko osoblje i učitelji)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Prijevozna sredstva u cestovnom prometu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16.500,00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Nabava teretnog vozila za potrebe škole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Ulaganja u računalne programe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1.465,63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Nabava računovodstveno financijskog programa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I. OŠ Petrinja na dan 30.06.2025. godine nema dospjelih obveza. Obveze na dan 30.06.2025. odnose se na plaću za lipanj koja nije dospjela, obveze za povrat u proračun za bolovanje na teret HZZO i ostale povrate koji su evidentirani kao nedospjele međusobne obveze proračunskih korisnika. Svi računi kojima je dospijeće do 30.06.2025. su podmireni.</w:t>
      </w:r>
    </w:p>
    <w:p/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e2ec3ea42eff4d2d" /></Relationships>
</file>